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5DE9" w:rsidRDefault="00411D00" w:rsidP="00AF5DE9">
      <w:pPr>
        <w:spacing w:line="360" w:lineRule="auto"/>
        <w:jc w:val="center"/>
        <w:rPr>
          <w:b/>
          <w:sz w:val="72"/>
          <w:szCs w:val="72"/>
        </w:rPr>
      </w:pPr>
      <w:r w:rsidRPr="00AF5DE9">
        <w:rPr>
          <w:b/>
          <w:sz w:val="72"/>
          <w:szCs w:val="72"/>
        </w:rPr>
        <w:t>Shelley Rogers</w:t>
      </w:r>
    </w:p>
    <w:p w:rsidR="00411D00" w:rsidRPr="00AF5DE9" w:rsidRDefault="00411D00" w:rsidP="00AF5DE9">
      <w:pPr>
        <w:spacing w:line="360" w:lineRule="auto"/>
        <w:jc w:val="center"/>
        <w:rPr>
          <w:b/>
          <w:sz w:val="72"/>
          <w:szCs w:val="72"/>
        </w:rPr>
      </w:pPr>
      <w:r w:rsidRPr="00AF5DE9">
        <w:rPr>
          <w:b/>
          <w:sz w:val="72"/>
          <w:szCs w:val="72"/>
        </w:rPr>
        <w:t xml:space="preserve">  31820955</w:t>
      </w:r>
    </w:p>
    <w:p w:rsidR="00411D00" w:rsidRDefault="00411D00" w:rsidP="00AF5DE9">
      <w:pPr>
        <w:spacing w:line="360" w:lineRule="auto"/>
        <w:jc w:val="center"/>
        <w:rPr>
          <w:b/>
          <w:sz w:val="72"/>
          <w:szCs w:val="72"/>
        </w:rPr>
      </w:pPr>
    </w:p>
    <w:p w:rsidR="00AF5DE9" w:rsidRPr="00AF5DE9" w:rsidRDefault="00AF5DE9" w:rsidP="00AF5DE9">
      <w:pPr>
        <w:spacing w:line="360" w:lineRule="auto"/>
        <w:jc w:val="center"/>
        <w:rPr>
          <w:b/>
          <w:sz w:val="72"/>
          <w:szCs w:val="72"/>
        </w:rPr>
      </w:pPr>
    </w:p>
    <w:p w:rsidR="00411D00" w:rsidRPr="00AF5DE9" w:rsidRDefault="00411D00" w:rsidP="00AF5DE9">
      <w:pPr>
        <w:spacing w:line="360" w:lineRule="auto"/>
        <w:jc w:val="center"/>
        <w:rPr>
          <w:b/>
          <w:sz w:val="72"/>
          <w:szCs w:val="72"/>
        </w:rPr>
      </w:pPr>
      <w:r w:rsidRPr="00AF5DE9">
        <w:rPr>
          <w:b/>
          <w:sz w:val="72"/>
          <w:szCs w:val="72"/>
        </w:rPr>
        <w:t>Assignment 2 – Text analysis</w:t>
      </w:r>
    </w:p>
    <w:p w:rsidR="00411D00" w:rsidRDefault="00411D00" w:rsidP="00AF5DE9">
      <w:pPr>
        <w:spacing w:line="360" w:lineRule="auto"/>
        <w:jc w:val="center"/>
        <w:rPr>
          <w:b/>
          <w:sz w:val="72"/>
          <w:szCs w:val="72"/>
        </w:rPr>
      </w:pPr>
    </w:p>
    <w:p w:rsidR="00AF5DE9" w:rsidRPr="00AF5DE9" w:rsidRDefault="00AF5DE9" w:rsidP="00AF5DE9">
      <w:pPr>
        <w:spacing w:line="360" w:lineRule="auto"/>
        <w:jc w:val="center"/>
        <w:rPr>
          <w:b/>
          <w:sz w:val="72"/>
          <w:szCs w:val="72"/>
        </w:rPr>
      </w:pPr>
    </w:p>
    <w:p w:rsidR="00411D00" w:rsidRPr="00AF5DE9" w:rsidRDefault="00411D00" w:rsidP="00AF5DE9">
      <w:pPr>
        <w:spacing w:line="360" w:lineRule="auto"/>
        <w:jc w:val="center"/>
        <w:rPr>
          <w:b/>
          <w:sz w:val="72"/>
          <w:szCs w:val="72"/>
        </w:rPr>
      </w:pPr>
      <w:r w:rsidRPr="00AF5DE9">
        <w:rPr>
          <w:b/>
          <w:sz w:val="72"/>
          <w:szCs w:val="72"/>
        </w:rPr>
        <w:t>Rockingham Campus – Jane Pearce</w:t>
      </w:r>
    </w:p>
    <w:p w:rsidR="00411D00" w:rsidRDefault="00411D00" w:rsidP="00411D00">
      <w:pPr>
        <w:spacing w:line="360" w:lineRule="auto"/>
        <w:rPr>
          <w:sz w:val="24"/>
          <w:szCs w:val="24"/>
        </w:rPr>
      </w:pPr>
    </w:p>
    <w:p w:rsidR="00411D00" w:rsidRDefault="00411D00" w:rsidP="00411D00">
      <w:pPr>
        <w:spacing w:line="360" w:lineRule="auto"/>
        <w:rPr>
          <w:sz w:val="24"/>
          <w:szCs w:val="24"/>
        </w:rPr>
      </w:pPr>
    </w:p>
    <w:p w:rsidR="00BF4E03" w:rsidRPr="00911DE6" w:rsidRDefault="00BF4E03" w:rsidP="00021DC6">
      <w:pPr>
        <w:spacing w:line="360" w:lineRule="auto"/>
        <w:rPr>
          <w:b/>
          <w:sz w:val="24"/>
          <w:szCs w:val="24"/>
        </w:rPr>
      </w:pPr>
      <w:r w:rsidRPr="00BF4E03">
        <w:rPr>
          <w:b/>
          <w:sz w:val="24"/>
          <w:szCs w:val="24"/>
        </w:rPr>
        <w:t xml:space="preserve">Part One: What is the genre of this text? Explain your answer by discussing the </w:t>
      </w:r>
      <w:r w:rsidR="00911DE6" w:rsidRPr="00BF4E03">
        <w:rPr>
          <w:b/>
          <w:sz w:val="24"/>
          <w:szCs w:val="24"/>
        </w:rPr>
        <w:t>generic</w:t>
      </w:r>
      <w:r w:rsidRPr="00BF4E03">
        <w:rPr>
          <w:b/>
          <w:sz w:val="24"/>
          <w:szCs w:val="24"/>
        </w:rPr>
        <w:t xml:space="preserve"> features of this text, including its structure and </w:t>
      </w:r>
      <w:r w:rsidR="00911DE6" w:rsidRPr="00BF4E03">
        <w:rPr>
          <w:b/>
          <w:sz w:val="24"/>
          <w:szCs w:val="24"/>
        </w:rPr>
        <w:t>purpose</w:t>
      </w:r>
      <w:r w:rsidRPr="00BF4E03">
        <w:rPr>
          <w:b/>
          <w:sz w:val="24"/>
          <w:szCs w:val="24"/>
        </w:rPr>
        <w:t>.  In what ways are the linguistic features typical of the genre?</w:t>
      </w:r>
    </w:p>
    <w:p w:rsidR="00841A7B" w:rsidRDefault="00315B32" w:rsidP="00021DC6">
      <w:pPr>
        <w:spacing w:line="360" w:lineRule="auto"/>
        <w:rPr>
          <w:sz w:val="24"/>
          <w:szCs w:val="24"/>
        </w:rPr>
      </w:pPr>
      <w:r>
        <w:rPr>
          <w:sz w:val="24"/>
          <w:szCs w:val="24"/>
        </w:rPr>
        <w:t xml:space="preserve">The function of this text is to inform the reader of the history of clean drinking water and the implementation of </w:t>
      </w:r>
      <w:r w:rsidR="00911DE6">
        <w:rPr>
          <w:sz w:val="24"/>
          <w:szCs w:val="24"/>
        </w:rPr>
        <w:t>sewage systems.  This text</w:t>
      </w:r>
      <w:r>
        <w:rPr>
          <w:sz w:val="24"/>
          <w:szCs w:val="24"/>
        </w:rPr>
        <w:t xml:space="preserve"> </w:t>
      </w:r>
      <w:r w:rsidR="00911DE6">
        <w:rPr>
          <w:sz w:val="24"/>
          <w:szCs w:val="24"/>
        </w:rPr>
        <w:t xml:space="preserve">is written in the genre of a (factual) recount, with hints of an information report.  </w:t>
      </w:r>
      <w:r>
        <w:rPr>
          <w:sz w:val="24"/>
          <w:szCs w:val="24"/>
        </w:rPr>
        <w:t>A recount will have certain structural fe</w:t>
      </w:r>
      <w:r w:rsidR="00FE69CD">
        <w:rPr>
          <w:sz w:val="24"/>
          <w:szCs w:val="24"/>
        </w:rPr>
        <w:t>atures, these being orientation -</w:t>
      </w:r>
      <w:r>
        <w:rPr>
          <w:sz w:val="24"/>
          <w:szCs w:val="24"/>
        </w:rPr>
        <w:t xml:space="preserve"> which sets the time and place “In 1900 even one of the most prosperous countries in the world, Britain,”</w:t>
      </w:r>
      <w:r w:rsidR="00730860">
        <w:rPr>
          <w:sz w:val="24"/>
          <w:szCs w:val="24"/>
        </w:rPr>
        <w:t xml:space="preserve"> </w:t>
      </w:r>
      <w:r>
        <w:rPr>
          <w:sz w:val="24"/>
          <w:szCs w:val="24"/>
        </w:rPr>
        <w:t>events stating what has happened – the implementation of a sewage system which did not interfere with</w:t>
      </w:r>
      <w:r w:rsidR="00BE70E9">
        <w:rPr>
          <w:sz w:val="24"/>
          <w:szCs w:val="24"/>
        </w:rPr>
        <w:t xml:space="preserve"> and contaminate drinking water,</w:t>
      </w:r>
      <w:r w:rsidR="00730860">
        <w:rPr>
          <w:sz w:val="24"/>
          <w:szCs w:val="24"/>
        </w:rPr>
        <w:t xml:space="preserve"> and</w:t>
      </w:r>
      <w:r w:rsidR="00BE70E9">
        <w:rPr>
          <w:sz w:val="24"/>
          <w:szCs w:val="24"/>
        </w:rPr>
        <w:t xml:space="preserve"> reorientation which would tell of the </w:t>
      </w:r>
      <w:r w:rsidR="00841A7B">
        <w:rPr>
          <w:sz w:val="24"/>
          <w:szCs w:val="24"/>
        </w:rPr>
        <w:t xml:space="preserve">outcome - </w:t>
      </w:r>
      <w:r w:rsidR="00BE70E9">
        <w:rPr>
          <w:sz w:val="24"/>
          <w:szCs w:val="24"/>
        </w:rPr>
        <w:t xml:space="preserve">optional </w:t>
      </w:r>
      <w:r w:rsidR="00F91141">
        <w:rPr>
          <w:sz w:val="24"/>
          <w:szCs w:val="24"/>
        </w:rPr>
        <w:fldChar w:fldCharType="begin"/>
      </w:r>
      <w:r w:rsidR="00F91141">
        <w:rPr>
          <w:sz w:val="24"/>
          <w:szCs w:val="24"/>
        </w:rPr>
        <w:instrText xml:space="preserve"> ADDIN EN.CITE &lt;EndNote&gt;&lt;Cite ExcludeYear="1"&gt;&lt;Author&gt;Emmitt&lt;/Author&gt;&lt;Year&gt;2010&lt;/Year&gt;&lt;RecNum&gt;24&lt;/RecNum&gt;&lt;Pages&gt;115&lt;/Pages&gt;&lt;DisplayText&gt;(Emmitt, Zbaracki, Komesaroff, &amp;amp; Polleck, p. 115)&lt;/DisplayText&gt;&lt;record&gt;&lt;rec-number&gt;24&lt;/rec-number&gt;&lt;foreign-keys&gt;&lt;key app="EN" db-id="ad99r2pead0ff2e2aaevw5t8aav0zsrpwrzw"&gt;24&lt;/key&gt;&lt;/foreign-keys&gt;&lt;ref-type name="Book"&gt;6&lt;/ref-type&gt;&lt;contributors&gt;&lt;authors&gt;&lt;author&gt;Emmitt, Marie&lt;/author&gt;&lt;author&gt;Zbaracki, Matthew&lt;/author&gt;&lt;author&gt;Komesaroff, Linda&lt;/author&gt;&lt;author&gt;Polleck, John&lt;/author&gt;&lt;/authors&gt;&lt;secondary-authors&gt;&lt;author&gt;Cruttenden, Pete&lt;/author&gt;&lt;/secondary-authors&gt;&lt;/contributors&gt;&lt;titles&gt;&lt;title&gt;Language and learning.  An introduction for Teaching&lt;/title&gt;&lt;/titles&gt;&lt;pages&gt;282&lt;/pages&gt;&lt;edition&gt;5&lt;/edition&gt;&lt;dates&gt;&lt;year&gt;2010&lt;/year&gt;&lt;/dates&gt;&lt;pub-location&gt;South Melbourne&lt;/pub-location&gt;&lt;publisher&gt;Oxford University Press&lt;/publisher&gt;&lt;orig-pub&gt;1991&lt;/orig-pub&gt;&lt;urls&gt;&lt;/urls&gt;&lt;access-date&gt;20 April 2012&lt;/access-date&gt;&lt;/record&gt;&lt;/Cite&gt;&lt;/EndNote&gt;</w:instrText>
      </w:r>
      <w:r w:rsidR="00F91141">
        <w:rPr>
          <w:sz w:val="24"/>
          <w:szCs w:val="24"/>
        </w:rPr>
        <w:fldChar w:fldCharType="separate"/>
      </w:r>
      <w:r w:rsidR="00F91141">
        <w:rPr>
          <w:noProof/>
          <w:sz w:val="24"/>
          <w:szCs w:val="24"/>
        </w:rPr>
        <w:t>(</w:t>
      </w:r>
      <w:hyperlink w:anchor="_ENREF_3" w:tooltip="Emmitt, 2010 #24" w:history="1">
        <w:r w:rsidR="000F57FD">
          <w:rPr>
            <w:noProof/>
            <w:sz w:val="24"/>
            <w:szCs w:val="24"/>
          </w:rPr>
          <w:t>Emmitt, Zbaracki, Komesaroff, &amp; Polleck, p. 115</w:t>
        </w:r>
      </w:hyperlink>
      <w:r w:rsidR="00F91141">
        <w:rPr>
          <w:noProof/>
          <w:sz w:val="24"/>
          <w:szCs w:val="24"/>
        </w:rPr>
        <w:t>)</w:t>
      </w:r>
      <w:r w:rsidR="00F91141">
        <w:rPr>
          <w:sz w:val="24"/>
          <w:szCs w:val="24"/>
        </w:rPr>
        <w:fldChar w:fldCharType="end"/>
      </w:r>
    </w:p>
    <w:p w:rsidR="00021DC6" w:rsidRDefault="00021DC6" w:rsidP="00021DC6">
      <w:pPr>
        <w:spacing w:line="360" w:lineRule="auto"/>
        <w:rPr>
          <w:sz w:val="24"/>
          <w:szCs w:val="24"/>
        </w:rPr>
      </w:pPr>
      <w:r>
        <w:rPr>
          <w:sz w:val="24"/>
          <w:szCs w:val="24"/>
        </w:rPr>
        <w:t xml:space="preserve">A recount will also have certain linguistic features – the use of prepositional phase to show when the event occurred, “throughout the twentieth century”.  </w:t>
      </w:r>
      <w:r>
        <w:rPr>
          <w:sz w:val="24"/>
          <w:szCs w:val="24"/>
        </w:rPr>
        <w:br/>
        <w:t xml:space="preserve">In a personal recount the writer would use </w:t>
      </w:r>
      <w:r w:rsidR="009375E6">
        <w:rPr>
          <w:sz w:val="24"/>
          <w:szCs w:val="24"/>
        </w:rPr>
        <w:t>first</w:t>
      </w:r>
      <w:r>
        <w:rPr>
          <w:sz w:val="24"/>
          <w:szCs w:val="24"/>
        </w:rPr>
        <w:t xml:space="preserve"> person, however in a factual recount this is not possible.  Common nouns (water), proper nouns (Manchester), concrete nouns (houses) and abstract nouns (sold), being used in noun groups, are all typical linguistic features of a recount. </w:t>
      </w:r>
    </w:p>
    <w:p w:rsidR="00EC7B2F" w:rsidRDefault="00BE70E9" w:rsidP="00EE1CA9">
      <w:pPr>
        <w:spacing w:line="360" w:lineRule="auto"/>
        <w:rPr>
          <w:sz w:val="24"/>
          <w:szCs w:val="24"/>
        </w:rPr>
      </w:pPr>
      <w:r>
        <w:rPr>
          <w:sz w:val="24"/>
          <w:szCs w:val="24"/>
        </w:rPr>
        <w:t xml:space="preserve">Information reports </w:t>
      </w:r>
      <w:r w:rsidR="008A09D4">
        <w:rPr>
          <w:sz w:val="24"/>
          <w:szCs w:val="24"/>
        </w:rPr>
        <w:t xml:space="preserve">are used to describe something, as in this text the implementation of sewerage systems throughout the world.  They </w:t>
      </w:r>
      <w:r>
        <w:rPr>
          <w:sz w:val="24"/>
          <w:szCs w:val="24"/>
        </w:rPr>
        <w:t xml:space="preserve">will introduce a topic – as seen in the first sentence of the text, followed by a description of the topic.    Information reports can </w:t>
      </w:r>
      <w:r w:rsidR="00FE69CD">
        <w:rPr>
          <w:sz w:val="24"/>
          <w:szCs w:val="24"/>
        </w:rPr>
        <w:t xml:space="preserve">also </w:t>
      </w:r>
      <w:r>
        <w:rPr>
          <w:sz w:val="24"/>
          <w:szCs w:val="24"/>
        </w:rPr>
        <w:t>interlink with explanations</w:t>
      </w:r>
      <w:r w:rsidR="00FE69CD">
        <w:rPr>
          <w:sz w:val="24"/>
          <w:szCs w:val="24"/>
        </w:rPr>
        <w:t>.</w:t>
      </w:r>
      <w:r w:rsidR="00EC7B2F">
        <w:rPr>
          <w:sz w:val="24"/>
          <w:szCs w:val="24"/>
        </w:rPr>
        <w:br/>
      </w:r>
      <w:r w:rsidR="00BF4E03">
        <w:rPr>
          <w:sz w:val="24"/>
          <w:szCs w:val="24"/>
        </w:rPr>
        <w:fldChar w:fldCharType="begin"/>
      </w:r>
      <w:r w:rsidR="00145597">
        <w:rPr>
          <w:sz w:val="24"/>
          <w:szCs w:val="24"/>
        </w:rPr>
        <w:instrText xml:space="preserve"> ADDIN EN.CITE &lt;EndNote&gt;&lt;Cite&gt;&lt;Author&gt;Derewianka&lt;/Author&gt;&lt;Year&gt;1946&lt;/Year&gt;&lt;RecNum&gt;23&lt;/RecNum&gt;&lt;Pages&gt;53&lt;/Pages&gt;&lt;DisplayText&gt;(Derewianka, 1946, p. 53)&lt;/DisplayText&gt;&lt;record&gt;&lt;rec-number&gt;23&lt;/rec-number&gt;&lt;foreign-keys&gt;&lt;key app="EN" db-id="ad99r2pead0ff2e2aaevw5t8aav0zsrpwrzw"&gt;23&lt;/key&gt;&lt;/foreign-keys&gt;&lt;ref-type name="Electronic Book"&gt;44&lt;/ref-type&gt;&lt;contributors&gt;&lt;authors&gt;&lt;author&gt;Derewianka, Beverly&lt;/author&gt;&lt;/authors&gt;&lt;/contributors&gt;&lt;titles&gt;&lt;title&gt;Information Reports&lt;/title&gt;&lt;/titles&gt;&lt;dates&gt;&lt;year&gt;1946&lt;/year&gt;&lt;/dates&gt;&lt;call-num&gt;electronic reserve&lt;/call-num&gt;&lt;urls&gt;&lt;/urls&gt;&lt;custom2&gt;20 April 2012&lt;/custom2&gt;&lt;/record&gt;&lt;/Cite&gt;&lt;/EndNote&gt;</w:instrText>
      </w:r>
      <w:r w:rsidR="00BF4E03">
        <w:rPr>
          <w:sz w:val="24"/>
          <w:szCs w:val="24"/>
        </w:rPr>
        <w:fldChar w:fldCharType="separate"/>
      </w:r>
      <w:r w:rsidR="00145597">
        <w:rPr>
          <w:noProof/>
          <w:sz w:val="24"/>
          <w:szCs w:val="24"/>
        </w:rPr>
        <w:t>(</w:t>
      </w:r>
      <w:hyperlink w:anchor="_ENREF_2" w:tooltip="Derewianka, 1946 #23" w:history="1">
        <w:r w:rsidR="000F57FD">
          <w:rPr>
            <w:noProof/>
            <w:sz w:val="24"/>
            <w:szCs w:val="24"/>
          </w:rPr>
          <w:t>Derewianka, 1946, p. 53</w:t>
        </w:r>
      </w:hyperlink>
      <w:r w:rsidR="00145597">
        <w:rPr>
          <w:noProof/>
          <w:sz w:val="24"/>
          <w:szCs w:val="24"/>
        </w:rPr>
        <w:t>)</w:t>
      </w:r>
      <w:r w:rsidR="00BF4E03">
        <w:rPr>
          <w:sz w:val="24"/>
          <w:szCs w:val="24"/>
        </w:rPr>
        <w:fldChar w:fldCharType="end"/>
      </w:r>
      <w:r w:rsidR="00BF4E03">
        <w:rPr>
          <w:sz w:val="24"/>
          <w:szCs w:val="24"/>
        </w:rPr>
        <w:t xml:space="preserve"> </w:t>
      </w:r>
      <w:r w:rsidR="00EC7B2F">
        <w:rPr>
          <w:sz w:val="24"/>
          <w:szCs w:val="24"/>
        </w:rPr>
        <w:t>states the language features of information reports are; generalised participants (European states), action verbs (worked) and linking verbs (for), descriptive language (but factual), may have technical langu</w:t>
      </w:r>
      <w:r w:rsidR="00601EAD">
        <w:rPr>
          <w:sz w:val="24"/>
          <w:szCs w:val="24"/>
        </w:rPr>
        <w:t>age (lavatory</w:t>
      </w:r>
      <w:r w:rsidR="00EC7B2F">
        <w:rPr>
          <w:sz w:val="24"/>
          <w:szCs w:val="24"/>
        </w:rPr>
        <w:t>).  She also states that the writing is formal and the authors’ personal thoughts and opinions are not given or needed.</w:t>
      </w:r>
    </w:p>
    <w:p w:rsidR="00EC7B2F" w:rsidRDefault="00DE5B6B" w:rsidP="00EE1CA9">
      <w:pPr>
        <w:spacing w:line="360" w:lineRule="auto"/>
        <w:rPr>
          <w:sz w:val="24"/>
          <w:szCs w:val="24"/>
        </w:rPr>
      </w:pPr>
      <w:r>
        <w:rPr>
          <w:sz w:val="24"/>
          <w:szCs w:val="24"/>
        </w:rPr>
        <w:lastRenderedPageBreak/>
        <w:t>The</w:t>
      </w:r>
      <w:r w:rsidR="009375E6">
        <w:rPr>
          <w:sz w:val="24"/>
          <w:szCs w:val="24"/>
        </w:rPr>
        <w:t xml:space="preserve"> tenor in this text is typical of factual recounts and information reports.  Factual reports are typically direct and information reports are neutral.  The use of first person is not appropriate in either genre.  The writer is the expert and needs to be objective.</w:t>
      </w:r>
    </w:p>
    <w:p w:rsidR="00FD47A2" w:rsidRDefault="00FD47A2" w:rsidP="00EE1CA9">
      <w:pPr>
        <w:spacing w:line="360" w:lineRule="auto"/>
        <w:rPr>
          <w:sz w:val="24"/>
          <w:szCs w:val="24"/>
        </w:rPr>
      </w:pPr>
    </w:p>
    <w:p w:rsidR="00BA6FA6" w:rsidRPr="00FD47A2" w:rsidRDefault="00EE1CA9" w:rsidP="00021DC6">
      <w:pPr>
        <w:spacing w:line="360" w:lineRule="auto"/>
        <w:rPr>
          <w:b/>
          <w:sz w:val="24"/>
          <w:szCs w:val="24"/>
        </w:rPr>
      </w:pPr>
      <w:r w:rsidRPr="00FD47A2">
        <w:rPr>
          <w:b/>
          <w:sz w:val="24"/>
          <w:szCs w:val="24"/>
        </w:rPr>
        <w:t xml:space="preserve">Part two:  What linguistic features of this text are typical of written texts?  In what ways, if any, is the text </w:t>
      </w:r>
      <w:r w:rsidRPr="00FD47A2">
        <w:rPr>
          <w:b/>
          <w:i/>
          <w:sz w:val="24"/>
          <w:szCs w:val="24"/>
        </w:rPr>
        <w:t>un</w:t>
      </w:r>
      <w:r w:rsidRPr="00FD47A2">
        <w:rPr>
          <w:b/>
          <w:sz w:val="24"/>
          <w:szCs w:val="24"/>
        </w:rPr>
        <w:t xml:space="preserve">typical of written texts? Use </w:t>
      </w:r>
      <w:r w:rsidRPr="00FD47A2">
        <w:rPr>
          <w:b/>
          <w:sz w:val="24"/>
          <w:szCs w:val="24"/>
          <w:u w:val="single"/>
        </w:rPr>
        <w:t>each</w:t>
      </w:r>
      <w:r w:rsidRPr="00FD47A2">
        <w:rPr>
          <w:b/>
          <w:sz w:val="24"/>
          <w:szCs w:val="24"/>
        </w:rPr>
        <w:t xml:space="preserve"> of the five concepts</w:t>
      </w:r>
      <w:r w:rsidR="00FD47A2" w:rsidRPr="00FD47A2">
        <w:rPr>
          <w:b/>
          <w:sz w:val="24"/>
          <w:szCs w:val="24"/>
        </w:rPr>
        <w:t xml:space="preserve"> below to support your discussion.  Explain what each term means and use at least </w:t>
      </w:r>
      <w:r w:rsidR="00FD47A2" w:rsidRPr="00FD47A2">
        <w:rPr>
          <w:b/>
          <w:sz w:val="24"/>
          <w:szCs w:val="24"/>
          <w:u w:val="single"/>
        </w:rPr>
        <w:t>one example</w:t>
      </w:r>
      <w:r w:rsidR="00FD47A2" w:rsidRPr="00FD47A2">
        <w:rPr>
          <w:b/>
          <w:sz w:val="24"/>
          <w:szCs w:val="24"/>
        </w:rPr>
        <w:t xml:space="preserve"> from the text to illustrate each concept</w:t>
      </w:r>
      <w:r w:rsidR="00EC7B2F" w:rsidRPr="00FD47A2">
        <w:rPr>
          <w:b/>
          <w:sz w:val="24"/>
          <w:szCs w:val="24"/>
        </w:rPr>
        <w:br/>
      </w:r>
    </w:p>
    <w:tbl>
      <w:tblPr>
        <w:tblStyle w:val="TableGrid"/>
        <w:tblW w:w="0" w:type="auto"/>
        <w:tblLook w:val="04A0" w:firstRow="1" w:lastRow="0" w:firstColumn="1" w:lastColumn="0" w:noHBand="0" w:noVBand="1"/>
      </w:tblPr>
      <w:tblGrid>
        <w:gridCol w:w="3080"/>
        <w:gridCol w:w="3081"/>
        <w:gridCol w:w="3081"/>
      </w:tblGrid>
      <w:tr w:rsidR="00BA6FA6" w:rsidRPr="00BA6FA6" w:rsidTr="00BA6FA6">
        <w:tc>
          <w:tcPr>
            <w:tcW w:w="3080" w:type="dxa"/>
          </w:tcPr>
          <w:p w:rsidR="00BA6FA6" w:rsidRPr="00BA6FA6" w:rsidRDefault="00BA6FA6" w:rsidP="00021DC6">
            <w:pPr>
              <w:spacing w:line="360" w:lineRule="auto"/>
            </w:pPr>
            <w:r w:rsidRPr="00BA6FA6">
              <w:t>Passive voice</w:t>
            </w:r>
          </w:p>
        </w:tc>
        <w:tc>
          <w:tcPr>
            <w:tcW w:w="3081" w:type="dxa"/>
          </w:tcPr>
          <w:p w:rsidR="00BA6FA6" w:rsidRPr="00BA6FA6" w:rsidRDefault="00BA6FA6" w:rsidP="00021DC6">
            <w:pPr>
              <w:spacing w:line="360" w:lineRule="auto"/>
            </w:pPr>
            <w:r w:rsidRPr="00BA6FA6">
              <w:t>‘Top-level’ structure</w:t>
            </w:r>
          </w:p>
        </w:tc>
        <w:tc>
          <w:tcPr>
            <w:tcW w:w="3081" w:type="dxa"/>
            <w:tcBorders>
              <w:bottom w:val="single" w:sz="4" w:space="0" w:color="auto"/>
            </w:tcBorders>
          </w:tcPr>
          <w:p w:rsidR="00BA6FA6" w:rsidRPr="00BA6FA6" w:rsidRDefault="00BA6FA6" w:rsidP="00021DC6">
            <w:pPr>
              <w:spacing w:line="360" w:lineRule="auto"/>
            </w:pPr>
            <w:r w:rsidRPr="00BA6FA6">
              <w:t>Text cohesion and cohesive ties (focus on lexical cohesion)</w:t>
            </w:r>
          </w:p>
        </w:tc>
      </w:tr>
      <w:tr w:rsidR="00BA6FA6" w:rsidRPr="00BA6FA6" w:rsidTr="00BA6FA6">
        <w:tc>
          <w:tcPr>
            <w:tcW w:w="3080" w:type="dxa"/>
          </w:tcPr>
          <w:p w:rsidR="00BA6FA6" w:rsidRPr="00BA6FA6" w:rsidRDefault="00BA6FA6" w:rsidP="00021DC6">
            <w:pPr>
              <w:spacing w:line="360" w:lineRule="auto"/>
            </w:pPr>
            <w:r w:rsidRPr="00BA6FA6">
              <w:t>Subject-noun phrases</w:t>
            </w:r>
          </w:p>
        </w:tc>
        <w:tc>
          <w:tcPr>
            <w:tcW w:w="3081" w:type="dxa"/>
          </w:tcPr>
          <w:p w:rsidR="00BA6FA6" w:rsidRPr="00BA6FA6" w:rsidRDefault="00BA6FA6" w:rsidP="00021DC6">
            <w:pPr>
              <w:spacing w:line="360" w:lineRule="auto"/>
            </w:pPr>
            <w:r w:rsidRPr="00BA6FA6">
              <w:t>Specialist vocabulary</w:t>
            </w:r>
          </w:p>
        </w:tc>
        <w:tc>
          <w:tcPr>
            <w:tcW w:w="3081" w:type="dxa"/>
            <w:tcBorders>
              <w:bottom w:val="nil"/>
              <w:right w:val="nil"/>
            </w:tcBorders>
          </w:tcPr>
          <w:p w:rsidR="00BA6FA6" w:rsidRPr="00BA6FA6" w:rsidRDefault="00BA6FA6" w:rsidP="00021DC6">
            <w:pPr>
              <w:spacing w:line="360" w:lineRule="auto"/>
            </w:pPr>
          </w:p>
        </w:tc>
      </w:tr>
    </w:tbl>
    <w:p w:rsidR="00BE70E9" w:rsidRDefault="00021DC6" w:rsidP="00021DC6">
      <w:pPr>
        <w:spacing w:line="360" w:lineRule="auto"/>
        <w:rPr>
          <w:sz w:val="24"/>
          <w:szCs w:val="24"/>
        </w:rPr>
      </w:pPr>
      <w:r w:rsidRPr="00FD47A2">
        <w:rPr>
          <w:b/>
          <w:sz w:val="24"/>
          <w:szCs w:val="24"/>
        </w:rPr>
        <w:br/>
      </w:r>
      <w:r w:rsidR="00911DE6">
        <w:rPr>
          <w:b/>
          <w:sz w:val="24"/>
          <w:szCs w:val="24"/>
        </w:rPr>
        <w:t>Passive voice –</w:t>
      </w:r>
      <w:r w:rsidR="00911DE6" w:rsidRPr="00911DE6">
        <w:rPr>
          <w:sz w:val="24"/>
          <w:szCs w:val="24"/>
        </w:rPr>
        <w:t xml:space="preserve"> </w:t>
      </w:r>
      <w:r w:rsidR="00911DE6">
        <w:rPr>
          <w:sz w:val="24"/>
          <w:szCs w:val="24"/>
        </w:rPr>
        <w:t>“</w:t>
      </w:r>
      <w:r w:rsidR="00911DE6" w:rsidRPr="00911DE6">
        <w:rPr>
          <w:sz w:val="24"/>
          <w:szCs w:val="24"/>
        </w:rPr>
        <w:t xml:space="preserve">In </w:t>
      </w:r>
      <w:r w:rsidR="00911DE6">
        <w:rPr>
          <w:sz w:val="24"/>
          <w:szCs w:val="24"/>
        </w:rPr>
        <w:t xml:space="preserve">a sentence using passive voice, the subject is acted upon; he or she receives the action expressed by the verb.  The agent performing the action may appear in a ‘by the…’ phase or may be omitted” </w:t>
      </w:r>
      <w:r w:rsidR="00911DE6">
        <w:rPr>
          <w:sz w:val="24"/>
          <w:szCs w:val="24"/>
        </w:rPr>
        <w:fldChar w:fldCharType="begin"/>
      </w:r>
      <w:r w:rsidR="00911DE6">
        <w:rPr>
          <w:sz w:val="24"/>
          <w:szCs w:val="24"/>
        </w:rPr>
        <w:instrText xml:space="preserve"> ADDIN EN.CITE &lt;EndNote&gt;&lt;Cite ExcludeYear="1"&gt;&lt;Author&gt;The writing lab&lt;/Author&gt;&lt;Year&gt;1995 - 2012&lt;/Year&gt;&lt;RecNum&gt;27&lt;/RecNum&gt;&lt;DisplayText&gt;(The writing lab, The Owl at Purdue, &amp;amp; Purdue University)&lt;/DisplayText&gt;&lt;record&gt;&lt;rec-number&gt;27&lt;/rec-number&gt;&lt;foreign-keys&gt;&lt;key app="EN" db-id="ad99r2pead0ff2e2aaevw5t8aav0zsrpwrzw"&gt;27&lt;/key&gt;&lt;/foreign-keys&gt;&lt;ref-type name="Web Page"&gt;12&lt;/ref-type&gt;&lt;contributors&gt;&lt;authors&gt;&lt;author&gt;The writing lab, &lt;/author&gt;&lt;author&gt;The Owl at Purdue,  &lt;/author&gt;&lt;author&gt;Purdue University,  &lt;/author&gt;&lt;/authors&gt;&lt;/contributors&gt;&lt;titles&gt;&lt;title&gt;OWL Purdue online writing lab&lt;/title&gt;&lt;/titles&gt;&lt;dates&gt;&lt;year&gt;1995 - 2012&lt;/year&gt;&lt;/dates&gt;&lt;urls&gt;&lt;related-urls&gt;&lt;url&gt;http://owl.english.purdue.edu/owl/&lt;/url&gt;&lt;/related-urls&gt;&lt;/urls&gt;&lt;custom2&gt;25 April 2012&lt;/custom2&gt;&lt;/record&gt;&lt;/Cite&gt;&lt;/EndNote&gt;</w:instrText>
      </w:r>
      <w:r w:rsidR="00911DE6">
        <w:rPr>
          <w:sz w:val="24"/>
          <w:szCs w:val="24"/>
        </w:rPr>
        <w:fldChar w:fldCharType="separate"/>
      </w:r>
      <w:r w:rsidR="00911DE6">
        <w:rPr>
          <w:noProof/>
          <w:sz w:val="24"/>
          <w:szCs w:val="24"/>
        </w:rPr>
        <w:t>(</w:t>
      </w:r>
      <w:hyperlink w:anchor="_ENREF_4" w:tooltip="The writing lab, 1995 - 2012 #27" w:history="1">
        <w:r w:rsidR="000F57FD">
          <w:rPr>
            <w:noProof/>
            <w:sz w:val="24"/>
            <w:szCs w:val="24"/>
          </w:rPr>
          <w:t>The writing lab, The Owl at Purdue, &amp; Purdue University</w:t>
        </w:r>
      </w:hyperlink>
      <w:r w:rsidR="00911DE6">
        <w:rPr>
          <w:noProof/>
          <w:sz w:val="24"/>
          <w:szCs w:val="24"/>
        </w:rPr>
        <w:t>)</w:t>
      </w:r>
      <w:r w:rsidR="00911DE6">
        <w:rPr>
          <w:sz w:val="24"/>
          <w:szCs w:val="24"/>
        </w:rPr>
        <w:fldChar w:fldCharType="end"/>
      </w:r>
      <w:r w:rsidR="00601EAD">
        <w:rPr>
          <w:sz w:val="24"/>
          <w:szCs w:val="24"/>
        </w:rPr>
        <w:t>.  For example ‘ Not until 1912 was construction of a primitive sewage system in Tokyo started and sixty years later over half the country did not have mains drainage.’</w:t>
      </w:r>
    </w:p>
    <w:p w:rsidR="00667018" w:rsidRDefault="00601EAD" w:rsidP="00021DC6">
      <w:pPr>
        <w:spacing w:line="360" w:lineRule="auto"/>
        <w:rPr>
          <w:sz w:val="24"/>
          <w:szCs w:val="24"/>
        </w:rPr>
      </w:pPr>
      <w:r w:rsidRPr="006452B1">
        <w:rPr>
          <w:b/>
          <w:sz w:val="24"/>
          <w:szCs w:val="24"/>
        </w:rPr>
        <w:t>‘Top-level’ structure –</w:t>
      </w:r>
      <w:r w:rsidR="0083749C">
        <w:rPr>
          <w:sz w:val="24"/>
          <w:szCs w:val="24"/>
        </w:rPr>
        <w:t>T</w:t>
      </w:r>
      <w:r w:rsidR="006452B1">
        <w:rPr>
          <w:sz w:val="24"/>
          <w:szCs w:val="24"/>
        </w:rPr>
        <w:t>here are four different top-level structures</w:t>
      </w:r>
      <w:r w:rsidR="00CE4EC2">
        <w:rPr>
          <w:sz w:val="24"/>
          <w:szCs w:val="24"/>
        </w:rPr>
        <w:t xml:space="preserve"> in written texts.  These are: comparison/contrast, problem/solution, causes/effects and descriptions/lists</w:t>
      </w:r>
      <w:r w:rsidR="00AB2444">
        <w:rPr>
          <w:sz w:val="24"/>
          <w:szCs w:val="24"/>
        </w:rPr>
        <w:t xml:space="preserve"> </w:t>
      </w:r>
      <w:r w:rsidR="0083749C">
        <w:rPr>
          <w:sz w:val="24"/>
          <w:szCs w:val="24"/>
        </w:rPr>
        <w:fldChar w:fldCharType="begin"/>
      </w:r>
      <w:r w:rsidR="00F91141">
        <w:rPr>
          <w:sz w:val="24"/>
          <w:szCs w:val="24"/>
        </w:rPr>
        <w:instrText xml:space="preserve"> ADDIN EN.CITE &lt;EndNote&gt;&lt;Cite ExcludeYear="1"&gt;&lt;Author&gt;Emmit&lt;/Author&gt;&lt;Year&gt;2010&lt;/Year&gt;&lt;RecNum&gt;24&lt;/RecNum&gt;&lt;Pages&gt;119&lt;/Pages&gt;&lt;DisplayText&gt;(Emmitt, et al., p. 119)&lt;/DisplayText&gt;&lt;record&gt;&lt;rec-number&gt;24&lt;/rec-number&gt;&lt;foreign-keys&gt;&lt;key app="EN" db-id="ad99r2pead0ff2e2aaevw5t8aav0zsrpwrzw"&gt;24&lt;/key&gt;&lt;/foreign-keys&gt;&lt;ref-type name="Book"&gt;6&lt;/ref-type&gt;&lt;contributors&gt;&lt;authors&gt;&lt;author&gt;Emmitt, Marie&lt;/author&gt;&lt;author&gt;Zbaracki, Matthew&lt;/author&gt;&lt;author&gt;Komesaroff, Linda&lt;/author&gt;&lt;author&gt;Polleck, John&lt;/author&gt;&lt;/authors&gt;&lt;secondary-authors&gt;&lt;author&gt;Cruttenden, Pete&lt;/author&gt;&lt;/secondary-authors&gt;&lt;/contributors&gt;&lt;titles&gt;&lt;title&gt;Language and learning.  An introduction for Teaching&lt;/title&gt;&lt;/titles&gt;&lt;pages&gt;282&lt;/pages&gt;&lt;edition&gt;5&lt;/edition&gt;&lt;dates&gt;&lt;year&gt;2010&lt;/year&gt;&lt;/dates&gt;&lt;pub-location&gt;South Melbourne&lt;/pub-location&gt;&lt;publisher&gt;Oxford University Press&lt;/publisher&gt;&lt;orig-pub&gt;1991&lt;/orig-pub&gt;&lt;urls&gt;&lt;/urls&gt;&lt;access-date&gt;20 April 2012&lt;/access-date&gt;&lt;/record&gt;&lt;/Cite&gt;&lt;/EndNote&gt;</w:instrText>
      </w:r>
      <w:r w:rsidR="0083749C">
        <w:rPr>
          <w:sz w:val="24"/>
          <w:szCs w:val="24"/>
        </w:rPr>
        <w:fldChar w:fldCharType="separate"/>
      </w:r>
      <w:r w:rsidR="00F91141">
        <w:rPr>
          <w:noProof/>
          <w:sz w:val="24"/>
          <w:szCs w:val="24"/>
        </w:rPr>
        <w:t>(</w:t>
      </w:r>
      <w:hyperlink w:anchor="_ENREF_3" w:tooltip="Emmitt, 2010 #24" w:history="1">
        <w:r w:rsidR="000F57FD">
          <w:rPr>
            <w:noProof/>
            <w:sz w:val="24"/>
            <w:szCs w:val="24"/>
          </w:rPr>
          <w:t>Emmitt, et al., p. 119</w:t>
        </w:r>
      </w:hyperlink>
      <w:r w:rsidR="00F91141">
        <w:rPr>
          <w:noProof/>
          <w:sz w:val="24"/>
          <w:szCs w:val="24"/>
        </w:rPr>
        <w:t>)</w:t>
      </w:r>
      <w:r w:rsidR="0083749C">
        <w:rPr>
          <w:sz w:val="24"/>
          <w:szCs w:val="24"/>
        </w:rPr>
        <w:fldChar w:fldCharType="end"/>
      </w:r>
      <w:r w:rsidR="0083749C">
        <w:rPr>
          <w:sz w:val="24"/>
          <w:szCs w:val="24"/>
        </w:rPr>
        <w:t xml:space="preserve">. </w:t>
      </w:r>
      <w:r w:rsidR="0083749C" w:rsidRPr="0083749C">
        <w:rPr>
          <w:sz w:val="24"/>
          <w:szCs w:val="24"/>
        </w:rPr>
        <w:t>In the text I think there are two top-level structures</w:t>
      </w:r>
      <w:r w:rsidR="0083749C">
        <w:rPr>
          <w:sz w:val="24"/>
          <w:szCs w:val="24"/>
        </w:rPr>
        <w:t xml:space="preserve"> - t</w:t>
      </w:r>
      <w:r w:rsidR="00AB2444">
        <w:rPr>
          <w:sz w:val="24"/>
          <w:szCs w:val="24"/>
        </w:rPr>
        <w:t>he main one being comparison/contrast with elements of description/lists.  Comparison/contrast structures are evident throughout the text as it is comparing dates as to when different cities got sewage systems.  For example “As late as 1960 two-thirds of urban homes in the Soviet Union were not connected to a sewer and throughout the century most of Moscow’s sewage was put untreated into the Moscow River.  The picture was much the same in Japan.” As you can see the Soviet Union and Japan are being directly compared.  There are also examples of description/lists in this text – the use of dates (1900, 1910, 1925, and 1960) and places (Britain, Manchester) are for the most part in chronological order.</w:t>
      </w:r>
      <w:r w:rsidR="00667018">
        <w:rPr>
          <w:sz w:val="24"/>
          <w:szCs w:val="24"/>
        </w:rPr>
        <w:br/>
        <w:t xml:space="preserve">Comparison/contrast structuring is mainly used in science, maths, social studies, and </w:t>
      </w:r>
      <w:r w:rsidR="00667018">
        <w:rPr>
          <w:sz w:val="24"/>
          <w:szCs w:val="24"/>
        </w:rPr>
        <w:lastRenderedPageBreak/>
        <w:t>history, second-language and learning texts.  Descriptions/lists are mainly used in narratives, history and timelines.</w:t>
      </w:r>
    </w:p>
    <w:p w:rsidR="003B33E8" w:rsidRDefault="00F30E51" w:rsidP="00021DC6">
      <w:pPr>
        <w:spacing w:line="360" w:lineRule="auto"/>
        <w:rPr>
          <w:sz w:val="24"/>
          <w:szCs w:val="24"/>
        </w:rPr>
      </w:pPr>
      <w:r w:rsidRPr="00F30E51">
        <w:rPr>
          <w:b/>
          <w:sz w:val="24"/>
          <w:szCs w:val="24"/>
        </w:rPr>
        <w:t xml:space="preserve">Text Cohesion and Cohesive ties </w:t>
      </w:r>
      <w:r>
        <w:rPr>
          <w:b/>
          <w:sz w:val="24"/>
          <w:szCs w:val="24"/>
        </w:rPr>
        <w:t>–</w:t>
      </w:r>
      <w:r w:rsidRPr="00F30E51">
        <w:rPr>
          <w:b/>
          <w:sz w:val="24"/>
          <w:szCs w:val="24"/>
        </w:rPr>
        <w:t xml:space="preserve"> </w:t>
      </w:r>
      <w:r>
        <w:rPr>
          <w:sz w:val="24"/>
          <w:szCs w:val="24"/>
        </w:rPr>
        <w:t xml:space="preserve">Text cohesion is “the study of the way in which text hangs together”  “Authors achieve cohesion in their text by relating different ideas using a range of language devices or cohesive ties” </w:t>
      </w:r>
      <w:r w:rsidR="00F91141">
        <w:rPr>
          <w:sz w:val="24"/>
          <w:szCs w:val="24"/>
        </w:rPr>
        <w:t xml:space="preserve">Lexical cohesion is “use of vocabulary that is in some way related to previously occurring items” </w:t>
      </w:r>
      <w:r w:rsidR="00F91141">
        <w:rPr>
          <w:sz w:val="24"/>
          <w:szCs w:val="24"/>
        </w:rPr>
        <w:fldChar w:fldCharType="begin"/>
      </w:r>
      <w:r w:rsidR="00F91141">
        <w:rPr>
          <w:sz w:val="24"/>
          <w:szCs w:val="24"/>
        </w:rPr>
        <w:instrText xml:space="preserve"> ADDIN EN.CITE &lt;EndNote&gt;&lt;Cite ExcludeYear="1"&gt;&lt;Author&gt;Emmitt&lt;/Author&gt;&lt;Year&gt;2010&lt;/Year&gt;&lt;RecNum&gt;24&lt;/RecNum&gt;&lt;Pages&gt;120-122&lt;/Pages&gt;&lt;DisplayText&gt;(Emmitt, et al., pp. 120-122)&lt;/DisplayText&gt;&lt;record&gt;&lt;rec-number&gt;24&lt;/rec-number&gt;&lt;foreign-keys&gt;&lt;key app="EN" db-id="ad99r2pead0ff2e2aaevw5t8aav0zsrpwrzw"&gt;24&lt;/key&gt;&lt;/foreign-keys&gt;&lt;ref-type name="Book"&gt;6&lt;/ref-type&gt;&lt;contributors&gt;&lt;authors&gt;&lt;author&gt;Emmitt, Marie&lt;/author&gt;&lt;author&gt;Zbaracki, Matthew&lt;/author&gt;&lt;author&gt;Komesaroff, Linda&lt;/author&gt;&lt;author&gt;Polleck, John&lt;/author&gt;&lt;/authors&gt;&lt;secondary-authors&gt;&lt;author&gt;Cruttenden, Pete&lt;/author&gt;&lt;/secondary-authors&gt;&lt;/contributors&gt;&lt;titles&gt;&lt;title&gt;Language and learning.  An introduction for Teaching&lt;/title&gt;&lt;/titles&gt;&lt;pages&gt;282&lt;/pages&gt;&lt;edition&gt;5&lt;/edition&gt;&lt;dates&gt;&lt;year&gt;2010&lt;/year&gt;&lt;/dates&gt;&lt;pub-location&gt;South Melbourne&lt;/pub-location&gt;&lt;publisher&gt;Oxford University Press&lt;/publisher&gt;&lt;orig-pub&gt;1991&lt;/orig-pub&gt;&lt;urls&gt;&lt;/urls&gt;&lt;access-date&gt;20 April 2012&lt;/access-date&gt;&lt;/record&gt;&lt;/Cite&gt;&lt;/EndNote&gt;</w:instrText>
      </w:r>
      <w:r w:rsidR="00F91141">
        <w:rPr>
          <w:sz w:val="24"/>
          <w:szCs w:val="24"/>
        </w:rPr>
        <w:fldChar w:fldCharType="separate"/>
      </w:r>
      <w:r w:rsidR="00F91141">
        <w:rPr>
          <w:noProof/>
          <w:sz w:val="24"/>
          <w:szCs w:val="24"/>
        </w:rPr>
        <w:t>(</w:t>
      </w:r>
      <w:hyperlink w:anchor="_ENREF_3" w:tooltip="Emmitt, 2010 #24" w:history="1">
        <w:r w:rsidR="000F57FD">
          <w:rPr>
            <w:noProof/>
            <w:sz w:val="24"/>
            <w:szCs w:val="24"/>
          </w:rPr>
          <w:t>Emmitt, et al., pp. 120-122</w:t>
        </w:r>
      </w:hyperlink>
      <w:r w:rsidR="00F91141">
        <w:rPr>
          <w:noProof/>
          <w:sz w:val="24"/>
          <w:szCs w:val="24"/>
        </w:rPr>
        <w:t>)</w:t>
      </w:r>
      <w:r w:rsidR="00F91141">
        <w:rPr>
          <w:sz w:val="24"/>
          <w:szCs w:val="24"/>
        </w:rPr>
        <w:fldChar w:fldCharType="end"/>
      </w:r>
      <w:r w:rsidR="00F91141">
        <w:rPr>
          <w:sz w:val="24"/>
          <w:szCs w:val="24"/>
        </w:rPr>
        <w:t>.  An example of lexical cohesion is ‘The picture was the same in Japan’.  Lexical cohesion in this sentence is ‘The picture was the same’, in the previous sentence, the reader learnt what happened and this sentence follo</w:t>
      </w:r>
      <w:r w:rsidR="00F230B8">
        <w:rPr>
          <w:sz w:val="24"/>
          <w:szCs w:val="24"/>
        </w:rPr>
        <w:t>ws on in the same way</w:t>
      </w:r>
    </w:p>
    <w:p w:rsidR="003B33E8" w:rsidRPr="005C02DD" w:rsidRDefault="003B33E8" w:rsidP="00021DC6">
      <w:pPr>
        <w:spacing w:line="360" w:lineRule="auto"/>
        <w:rPr>
          <w:sz w:val="24"/>
          <w:szCs w:val="24"/>
        </w:rPr>
      </w:pPr>
      <w:r w:rsidRPr="003B33E8">
        <w:rPr>
          <w:b/>
          <w:sz w:val="24"/>
          <w:szCs w:val="24"/>
        </w:rPr>
        <w:t xml:space="preserve">Subject-noun phases – </w:t>
      </w:r>
      <w:r w:rsidR="005C02DD">
        <w:rPr>
          <w:sz w:val="24"/>
          <w:szCs w:val="24"/>
        </w:rPr>
        <w:t>Subject noun phases are the subject of the individual clause.  For example “one of the most prosperous countries in the world, Britain…”</w:t>
      </w:r>
    </w:p>
    <w:p w:rsidR="003B33E8" w:rsidRDefault="003B33E8" w:rsidP="00021DC6">
      <w:pPr>
        <w:spacing w:line="360" w:lineRule="auto"/>
        <w:rPr>
          <w:sz w:val="24"/>
          <w:szCs w:val="24"/>
        </w:rPr>
      </w:pPr>
      <w:r w:rsidRPr="003B33E8">
        <w:rPr>
          <w:b/>
          <w:sz w:val="24"/>
          <w:szCs w:val="24"/>
        </w:rPr>
        <w:t>Specialist vocabulary –</w:t>
      </w:r>
      <w:r>
        <w:rPr>
          <w:sz w:val="24"/>
          <w:szCs w:val="24"/>
        </w:rPr>
        <w:t xml:space="preserve"> Specialist vocabulary is technical language relating to a specific topic.  When an author is using specialist vocabulary they condense the writing.  </w:t>
      </w:r>
      <w:r w:rsidR="00EA45DC">
        <w:rPr>
          <w:sz w:val="24"/>
          <w:szCs w:val="24"/>
        </w:rPr>
        <w:t>F</w:t>
      </w:r>
      <w:r>
        <w:rPr>
          <w:sz w:val="24"/>
          <w:szCs w:val="24"/>
        </w:rPr>
        <w:t xml:space="preserve">or example in this text some specialist vocabulary is </w:t>
      </w:r>
      <w:r w:rsidRPr="003B33E8">
        <w:rPr>
          <w:i/>
          <w:sz w:val="24"/>
          <w:szCs w:val="24"/>
        </w:rPr>
        <w:t>lavatory</w:t>
      </w:r>
      <w:r>
        <w:rPr>
          <w:sz w:val="24"/>
          <w:szCs w:val="24"/>
        </w:rPr>
        <w:t xml:space="preserve"> and </w:t>
      </w:r>
      <w:r w:rsidRPr="003B33E8">
        <w:rPr>
          <w:i/>
          <w:sz w:val="24"/>
          <w:szCs w:val="24"/>
        </w:rPr>
        <w:t>water closets</w:t>
      </w:r>
      <w:r>
        <w:rPr>
          <w:sz w:val="24"/>
          <w:szCs w:val="24"/>
        </w:rPr>
        <w:t xml:space="preserve">.  The more common word is </w:t>
      </w:r>
      <w:r w:rsidRPr="003B33E8">
        <w:rPr>
          <w:i/>
          <w:sz w:val="24"/>
          <w:szCs w:val="24"/>
        </w:rPr>
        <w:t>toilet.</w:t>
      </w:r>
      <w:r>
        <w:rPr>
          <w:sz w:val="24"/>
          <w:szCs w:val="24"/>
        </w:rPr>
        <w:t xml:space="preserve">  Authors need to be careful that they do not exclude people and will generally explain the specialist vocabular</w:t>
      </w:r>
      <w:r w:rsidR="00EA45DC">
        <w:rPr>
          <w:sz w:val="24"/>
          <w:szCs w:val="24"/>
        </w:rPr>
        <w:t>y the first time it is used in</w:t>
      </w:r>
      <w:r>
        <w:rPr>
          <w:sz w:val="24"/>
          <w:szCs w:val="24"/>
        </w:rPr>
        <w:t xml:space="preserve"> text, or in a glossary at the </w:t>
      </w:r>
      <w:r w:rsidR="000F57FD">
        <w:rPr>
          <w:sz w:val="24"/>
          <w:szCs w:val="24"/>
        </w:rPr>
        <w:t xml:space="preserve">end of a text </w:t>
      </w:r>
      <w:r w:rsidR="000F57FD">
        <w:rPr>
          <w:sz w:val="24"/>
          <w:szCs w:val="24"/>
        </w:rPr>
        <w:fldChar w:fldCharType="begin"/>
      </w:r>
      <w:r w:rsidR="000F57FD">
        <w:rPr>
          <w:sz w:val="24"/>
          <w:szCs w:val="24"/>
        </w:rPr>
        <w:instrText xml:space="preserve"> ADDIN EN.CITE &lt;EndNote&gt;&lt;Cite ExcludeYear="1"&gt;&lt;Author&gt;Christie&lt;/Author&gt;&lt;Year&gt;1992&lt;/Year&gt;&lt;RecNum&gt;26&lt;/RecNum&gt;&lt;DisplayText&gt;(Christie)&lt;/DisplayText&gt;&lt;record&gt;&lt;rec-number&gt;26&lt;/rec-number&gt;&lt;foreign-keys&gt;&lt;key app="EN" db-id="ad99r2pead0ff2e2aaevw5t8aav0zsrpwrzw"&gt;26&lt;/key&gt;&lt;/foreign-keys&gt;&lt;ref-type name="Book"&gt;6&lt;/ref-type&gt;&lt;contributors&gt;&lt;authors&gt;&lt;author&gt;Christie, Frances &lt;/author&gt;&lt;/authors&gt;&lt;/contributors&gt;&lt;titles&gt;&lt;title&gt;Looking closely at meaning: Technical language in science In Exploring explinations about Astronomy&lt;/title&gt;&lt;/titles&gt;&lt;section&gt;40-45&lt;/section&gt;&lt;dates&gt;&lt;year&gt;1992&lt;/year&gt;&lt;/dates&gt;&lt;pub-location&gt;Sydney&lt;/pub-location&gt;&lt;publisher&gt;Harcourt, Brace and Jovanovich&lt;/publisher&gt;&lt;call-num&gt;ECMS-688kb&lt;/call-num&gt;&lt;work-type&gt;Electronic reserve&lt;/work-type&gt;&lt;urls&gt;&lt;/urls&gt;&lt;/record&gt;&lt;/Cite&gt;&lt;/EndNote&gt;</w:instrText>
      </w:r>
      <w:r w:rsidR="000F57FD">
        <w:rPr>
          <w:sz w:val="24"/>
          <w:szCs w:val="24"/>
        </w:rPr>
        <w:fldChar w:fldCharType="separate"/>
      </w:r>
      <w:r w:rsidR="000F57FD">
        <w:rPr>
          <w:noProof/>
          <w:sz w:val="24"/>
          <w:szCs w:val="24"/>
        </w:rPr>
        <w:t>(</w:t>
      </w:r>
      <w:hyperlink w:anchor="_ENREF_1" w:tooltip="Christie, 1992 #26" w:history="1">
        <w:r w:rsidR="000F57FD">
          <w:rPr>
            <w:noProof/>
            <w:sz w:val="24"/>
            <w:szCs w:val="24"/>
          </w:rPr>
          <w:t>Christie</w:t>
        </w:r>
      </w:hyperlink>
      <w:r w:rsidR="000F57FD">
        <w:rPr>
          <w:noProof/>
          <w:sz w:val="24"/>
          <w:szCs w:val="24"/>
        </w:rPr>
        <w:t>)</w:t>
      </w:r>
      <w:r w:rsidR="000F57FD">
        <w:rPr>
          <w:sz w:val="24"/>
          <w:szCs w:val="24"/>
        </w:rPr>
        <w:fldChar w:fldCharType="end"/>
      </w:r>
    </w:p>
    <w:p w:rsidR="000F57FD" w:rsidRDefault="00A20993" w:rsidP="00021DC6">
      <w:pPr>
        <w:spacing w:line="360" w:lineRule="auto"/>
        <w:rPr>
          <w:sz w:val="24"/>
          <w:szCs w:val="24"/>
        </w:rPr>
      </w:pPr>
      <w:r>
        <w:rPr>
          <w:sz w:val="24"/>
          <w:szCs w:val="24"/>
        </w:rPr>
        <w:t>All the concepts above are typical of written texts.  Some other typical features of a written text are; the text has to be all inclusive – that being that the audience is not missing important parts of information or needing to go looking elsewhere for answers.  Also the text must be constructed to ensure that it flows and is ordered.  It is very difficult for the audience</w:t>
      </w:r>
      <w:r w:rsidR="006A5A11">
        <w:rPr>
          <w:sz w:val="24"/>
          <w:szCs w:val="24"/>
        </w:rPr>
        <w:t xml:space="preserve"> to read</w:t>
      </w:r>
      <w:proofErr w:type="gramStart"/>
      <w:r w:rsidR="006A5A11">
        <w:rPr>
          <w:sz w:val="24"/>
          <w:szCs w:val="24"/>
        </w:rPr>
        <w:t>,</w:t>
      </w:r>
      <w:proofErr w:type="gramEnd"/>
      <w:r w:rsidR="006A5A11">
        <w:rPr>
          <w:sz w:val="24"/>
          <w:szCs w:val="24"/>
        </w:rPr>
        <w:t xml:space="preserve"> if the author is</w:t>
      </w:r>
      <w:r>
        <w:rPr>
          <w:sz w:val="24"/>
          <w:szCs w:val="24"/>
        </w:rPr>
        <w:t xml:space="preserve"> going bac</w:t>
      </w:r>
      <w:r w:rsidR="006A5A11">
        <w:rPr>
          <w:sz w:val="24"/>
          <w:szCs w:val="24"/>
        </w:rPr>
        <w:t xml:space="preserve">k and forward in their writing.  Any information that is gathered from an outside source needs to be referenced in a written text, whereas in spoken language you do not reference (in general).  In spoken </w:t>
      </w:r>
      <w:r w:rsidR="00B67793">
        <w:rPr>
          <w:sz w:val="24"/>
          <w:szCs w:val="24"/>
        </w:rPr>
        <w:t xml:space="preserve">language, the speaker will </w:t>
      </w:r>
      <w:r w:rsidR="006A5A11">
        <w:rPr>
          <w:sz w:val="24"/>
          <w:szCs w:val="24"/>
        </w:rPr>
        <w:t>pause at the appropriate place, whereas in a written text the author is not able to do this without the use of punctuation.</w:t>
      </w:r>
    </w:p>
    <w:p w:rsidR="003B33E8" w:rsidRDefault="003B33E8" w:rsidP="00021DC6">
      <w:pPr>
        <w:spacing w:line="360" w:lineRule="auto"/>
        <w:rPr>
          <w:sz w:val="24"/>
          <w:szCs w:val="24"/>
        </w:rPr>
      </w:pPr>
    </w:p>
    <w:p w:rsidR="003B33E8" w:rsidRDefault="003B33E8" w:rsidP="00021DC6">
      <w:pPr>
        <w:spacing w:line="360" w:lineRule="auto"/>
        <w:rPr>
          <w:sz w:val="24"/>
          <w:szCs w:val="24"/>
        </w:rPr>
      </w:pPr>
    </w:p>
    <w:p w:rsidR="009A7334" w:rsidRPr="009A7334" w:rsidRDefault="00F91141" w:rsidP="00021DC6">
      <w:pPr>
        <w:spacing w:line="360" w:lineRule="auto"/>
        <w:rPr>
          <w:b/>
          <w:sz w:val="24"/>
          <w:szCs w:val="24"/>
        </w:rPr>
      </w:pPr>
      <w:r>
        <w:rPr>
          <w:sz w:val="24"/>
          <w:szCs w:val="24"/>
        </w:rPr>
        <w:lastRenderedPageBreak/>
        <w:t xml:space="preserve"> </w:t>
      </w:r>
      <w:r w:rsidR="009A7334" w:rsidRPr="009A7334">
        <w:rPr>
          <w:b/>
          <w:sz w:val="24"/>
          <w:szCs w:val="24"/>
        </w:rPr>
        <w:t xml:space="preserve">Part Three:  This text was written for a general, adult audience.  Re-write the text to make it accessible to younger readers.  Your intended audience will be in the upper primary/lower secondary age group, but please bear in mind that your goal in re-writing the text is to make it more engaging as a text, rather than to write for a particular age group.  You can be as creative as you wish, as long as you retain the key ideas or information given in the text. </w:t>
      </w:r>
    </w:p>
    <w:p w:rsidR="00D6083A" w:rsidRDefault="00D6083A" w:rsidP="00DA2F68">
      <w:pPr>
        <w:spacing w:line="360" w:lineRule="auto"/>
        <w:rPr>
          <w:sz w:val="24"/>
          <w:szCs w:val="24"/>
        </w:rPr>
      </w:pPr>
      <w:r>
        <w:rPr>
          <w:sz w:val="24"/>
          <w:szCs w:val="24"/>
        </w:rPr>
        <w:t>Humans have two basic environmental needs; clean drinking water and a sewerage system that doesn’t pollute the drinking water.</w:t>
      </w:r>
      <w:r w:rsidR="001403BE">
        <w:rPr>
          <w:sz w:val="24"/>
          <w:szCs w:val="24"/>
        </w:rPr>
        <w:t xml:space="preserve">  However, majority of people in the twentieth century had neither.</w:t>
      </w:r>
    </w:p>
    <w:p w:rsidR="00DA2F68" w:rsidRDefault="001403BE" w:rsidP="00DA2F68">
      <w:pPr>
        <w:spacing w:line="360" w:lineRule="auto"/>
        <w:rPr>
          <w:sz w:val="24"/>
          <w:szCs w:val="24"/>
        </w:rPr>
      </w:pPr>
      <w:r>
        <w:rPr>
          <w:sz w:val="24"/>
          <w:szCs w:val="24"/>
        </w:rPr>
        <w:t>In 1900, Britain was one of the most thriving countries in the world, yet they only had a basic sewerage and clean water system.  Their major city – Manchester had less than half the houses with a toilet.  In 1910 another British town Dundee, only had three hotels and two houses with toilets and they only worked with buckets of water.  The rest of the town had to share 1000 privately owned and fourteen public toilets.</w:t>
      </w:r>
      <w:r>
        <w:rPr>
          <w:sz w:val="24"/>
          <w:szCs w:val="24"/>
        </w:rPr>
        <w:br/>
        <w:t xml:space="preserve">Some local </w:t>
      </w:r>
      <w:proofErr w:type="gramStart"/>
      <w:r>
        <w:rPr>
          <w:sz w:val="24"/>
          <w:szCs w:val="24"/>
        </w:rPr>
        <w:t>councils</w:t>
      </w:r>
      <w:proofErr w:type="gramEnd"/>
      <w:r>
        <w:rPr>
          <w:sz w:val="24"/>
          <w:szCs w:val="24"/>
        </w:rPr>
        <w:t xml:space="preserve"> still dried and sold human waste to</w:t>
      </w:r>
      <w:r w:rsidR="00DA2F68">
        <w:rPr>
          <w:sz w:val="24"/>
          <w:szCs w:val="24"/>
        </w:rPr>
        <w:t xml:space="preserve"> local</w:t>
      </w:r>
      <w:r>
        <w:rPr>
          <w:sz w:val="24"/>
          <w:szCs w:val="24"/>
        </w:rPr>
        <w:t xml:space="preserve"> farmers</w:t>
      </w:r>
      <w:r w:rsidR="00DA2F68">
        <w:rPr>
          <w:sz w:val="24"/>
          <w:szCs w:val="24"/>
        </w:rPr>
        <w:t>.</w:t>
      </w:r>
      <w:r w:rsidR="00DA2F68">
        <w:rPr>
          <w:sz w:val="24"/>
          <w:szCs w:val="24"/>
        </w:rPr>
        <w:br/>
        <w:t xml:space="preserve">In Paris 1925, half the houses still did not have a connection to a sewerage system.  </w:t>
      </w:r>
      <w:r w:rsidR="00295F14">
        <w:rPr>
          <w:sz w:val="24"/>
          <w:szCs w:val="24"/>
        </w:rPr>
        <w:t xml:space="preserve">Until 1960 half of their waste was pumped, untreated, into the Seine River.  </w:t>
      </w:r>
      <w:r w:rsidR="00295F14">
        <w:rPr>
          <w:sz w:val="24"/>
          <w:szCs w:val="24"/>
        </w:rPr>
        <w:br/>
        <w:t>During the middle of the century most of the inner-city housing was destroyed in Europe.  However, with this destruction came the sewerage system and clean water.  Waste was still dumped at sea, close to bathing beaches.</w:t>
      </w:r>
      <w:r w:rsidR="00295F14">
        <w:rPr>
          <w:sz w:val="24"/>
          <w:szCs w:val="24"/>
        </w:rPr>
        <w:br/>
        <w:t>In the early twentieth century the wealthiest states in the world only had a very basic sewerage system, the poorer countries had even worse.</w:t>
      </w:r>
      <w:r w:rsidR="00295F14">
        <w:rPr>
          <w:sz w:val="24"/>
          <w:szCs w:val="24"/>
        </w:rPr>
        <w:br/>
      </w:r>
      <w:r w:rsidR="001D0B89">
        <w:rPr>
          <w:sz w:val="24"/>
          <w:szCs w:val="24"/>
        </w:rPr>
        <w:t>Moscow’s</w:t>
      </w:r>
      <w:r w:rsidR="00295F14">
        <w:rPr>
          <w:sz w:val="24"/>
          <w:szCs w:val="24"/>
        </w:rPr>
        <w:t xml:space="preserve"> first sewer wasn’t constructed until 1898 and by 1917, only eighteen cities had a basic system.  Two-thirds of the urban population of Moscow weren’t connected to this system in the late 1960’s.  Most of the waste from Moscow was pumped untreated,</w:t>
      </w:r>
      <w:r w:rsidR="001D0B89">
        <w:rPr>
          <w:sz w:val="24"/>
          <w:szCs w:val="24"/>
        </w:rPr>
        <w:t xml:space="preserve"> into the Moscow River throughout the century.</w:t>
      </w:r>
      <w:r w:rsidR="001D0B89">
        <w:rPr>
          <w:sz w:val="24"/>
          <w:szCs w:val="24"/>
        </w:rPr>
        <w:br/>
        <w:t>The situation was the sae for Japan.  Their first basic system started in 1912 and sixty years later over half the country still wasn’t connected to the sewerage system.</w:t>
      </w:r>
      <w:bookmarkStart w:id="0" w:name="_GoBack"/>
      <w:bookmarkEnd w:id="0"/>
    </w:p>
    <w:p w:rsidR="00601EAD" w:rsidRDefault="00601EAD">
      <w:pPr>
        <w:rPr>
          <w:sz w:val="24"/>
          <w:szCs w:val="24"/>
        </w:rPr>
      </w:pPr>
      <w:r>
        <w:rPr>
          <w:sz w:val="24"/>
          <w:szCs w:val="24"/>
        </w:rPr>
        <w:br w:type="page"/>
      </w:r>
    </w:p>
    <w:p w:rsidR="00411D00" w:rsidRDefault="00411D00" w:rsidP="00F91141">
      <w:pPr>
        <w:spacing w:line="360" w:lineRule="auto"/>
        <w:rPr>
          <w:sz w:val="24"/>
          <w:szCs w:val="24"/>
        </w:rPr>
      </w:pPr>
    </w:p>
    <w:p w:rsidR="000F57FD" w:rsidRDefault="00EC7B2F" w:rsidP="00503B9E">
      <w:pPr>
        <w:spacing w:after="0" w:line="360" w:lineRule="auto"/>
        <w:ind w:left="720" w:hanging="720"/>
        <w:rPr>
          <w:rFonts w:ascii="Calibri" w:hAnsi="Calibri"/>
          <w:noProof/>
          <w:szCs w:val="24"/>
        </w:rPr>
      </w:pPr>
      <w:r>
        <w:rPr>
          <w:sz w:val="24"/>
          <w:szCs w:val="24"/>
        </w:rPr>
        <w:fldChar w:fldCharType="begin"/>
      </w:r>
      <w:r>
        <w:rPr>
          <w:sz w:val="24"/>
          <w:szCs w:val="24"/>
        </w:rPr>
        <w:instrText xml:space="preserve"> ADDIN EN.REFLIST </w:instrText>
      </w:r>
      <w:r>
        <w:rPr>
          <w:sz w:val="24"/>
          <w:szCs w:val="24"/>
        </w:rPr>
        <w:fldChar w:fldCharType="separate"/>
      </w:r>
      <w:bookmarkStart w:id="1" w:name="_ENREF_1"/>
      <w:r w:rsidR="000F57FD" w:rsidRPr="000F57FD">
        <w:rPr>
          <w:rFonts w:ascii="Calibri" w:hAnsi="Calibri"/>
          <w:noProof/>
          <w:szCs w:val="24"/>
        </w:rPr>
        <w:t xml:space="preserve">Christie, Frances (1992). </w:t>
      </w:r>
      <w:r w:rsidR="000F57FD" w:rsidRPr="000F57FD">
        <w:rPr>
          <w:rFonts w:ascii="Calibri" w:hAnsi="Calibri"/>
          <w:i/>
          <w:noProof/>
          <w:szCs w:val="24"/>
        </w:rPr>
        <w:t>Looking closely at meaning: Technical language in science In Exploring explinations about Astronomy</w:t>
      </w:r>
      <w:r w:rsidR="000F57FD" w:rsidRPr="000F57FD">
        <w:rPr>
          <w:rFonts w:ascii="Calibri" w:hAnsi="Calibri"/>
          <w:noProof/>
          <w:szCs w:val="24"/>
        </w:rPr>
        <w:t>. Sydney: Harcourt, Brace and Jovanovich.</w:t>
      </w:r>
      <w:bookmarkEnd w:id="1"/>
    </w:p>
    <w:p w:rsidR="00503B9E" w:rsidRPr="000F57FD" w:rsidRDefault="00503B9E" w:rsidP="00503B9E">
      <w:pPr>
        <w:spacing w:after="0" w:line="360" w:lineRule="auto"/>
        <w:ind w:left="720" w:hanging="720"/>
        <w:rPr>
          <w:rFonts w:ascii="Calibri" w:hAnsi="Calibri"/>
          <w:noProof/>
          <w:szCs w:val="24"/>
        </w:rPr>
      </w:pPr>
    </w:p>
    <w:p w:rsidR="000F57FD" w:rsidRDefault="000F57FD" w:rsidP="00503B9E">
      <w:pPr>
        <w:spacing w:after="0" w:line="360" w:lineRule="auto"/>
        <w:ind w:left="720" w:hanging="720"/>
        <w:rPr>
          <w:rFonts w:ascii="Calibri" w:hAnsi="Calibri"/>
          <w:noProof/>
          <w:szCs w:val="24"/>
        </w:rPr>
      </w:pPr>
      <w:bookmarkStart w:id="2" w:name="_ENREF_2"/>
      <w:r w:rsidRPr="000F57FD">
        <w:rPr>
          <w:rFonts w:ascii="Calibri" w:hAnsi="Calibri"/>
          <w:noProof/>
          <w:szCs w:val="24"/>
        </w:rPr>
        <w:t>Derewianka, Beverly. (1946). Information Reports</w:t>
      </w:r>
      <w:r w:rsidRPr="000F57FD">
        <w:rPr>
          <w:rFonts w:ascii="Calibri" w:hAnsi="Calibri"/>
          <w:i/>
          <w:noProof/>
          <w:szCs w:val="24"/>
        </w:rPr>
        <w:t xml:space="preserve"> </w:t>
      </w:r>
      <w:r w:rsidRPr="000F57FD">
        <w:rPr>
          <w:rFonts w:ascii="Calibri" w:hAnsi="Calibri"/>
          <w:noProof/>
          <w:szCs w:val="24"/>
        </w:rPr>
        <w:t xml:space="preserve">  </w:t>
      </w:r>
      <w:bookmarkEnd w:id="2"/>
    </w:p>
    <w:p w:rsidR="00503B9E" w:rsidRPr="000F57FD" w:rsidRDefault="00503B9E" w:rsidP="00503B9E">
      <w:pPr>
        <w:spacing w:after="0" w:line="360" w:lineRule="auto"/>
        <w:ind w:left="720" w:hanging="720"/>
        <w:rPr>
          <w:rFonts w:ascii="Calibri" w:hAnsi="Calibri"/>
          <w:noProof/>
          <w:szCs w:val="24"/>
        </w:rPr>
      </w:pPr>
    </w:p>
    <w:p w:rsidR="000F57FD" w:rsidRDefault="000F57FD" w:rsidP="00503B9E">
      <w:pPr>
        <w:spacing w:after="0" w:line="360" w:lineRule="auto"/>
        <w:ind w:left="720" w:hanging="720"/>
        <w:rPr>
          <w:rFonts w:ascii="Calibri" w:hAnsi="Calibri"/>
          <w:noProof/>
          <w:szCs w:val="24"/>
        </w:rPr>
      </w:pPr>
      <w:bookmarkStart w:id="3" w:name="_ENREF_3"/>
      <w:r w:rsidRPr="000F57FD">
        <w:rPr>
          <w:rFonts w:ascii="Calibri" w:hAnsi="Calibri"/>
          <w:noProof/>
          <w:szCs w:val="24"/>
        </w:rPr>
        <w:t xml:space="preserve">Emmitt, Marie, Zbaracki, Matthew, Komesaroff, Linda, &amp; Polleck, John. (2010). </w:t>
      </w:r>
      <w:r w:rsidRPr="000F57FD">
        <w:rPr>
          <w:rFonts w:ascii="Calibri" w:hAnsi="Calibri"/>
          <w:i/>
          <w:noProof/>
          <w:szCs w:val="24"/>
        </w:rPr>
        <w:t>Language and learning.  An introduction for Teaching</w:t>
      </w:r>
      <w:r w:rsidRPr="000F57FD">
        <w:rPr>
          <w:rFonts w:ascii="Calibri" w:hAnsi="Calibri"/>
          <w:noProof/>
          <w:szCs w:val="24"/>
        </w:rPr>
        <w:t xml:space="preserve"> (5 ed.). South Melbourne: Oxford University Press.</w:t>
      </w:r>
      <w:bookmarkEnd w:id="3"/>
    </w:p>
    <w:p w:rsidR="00503B9E" w:rsidRPr="000F57FD" w:rsidRDefault="00503B9E" w:rsidP="00503B9E">
      <w:pPr>
        <w:spacing w:after="0" w:line="360" w:lineRule="auto"/>
        <w:ind w:left="720" w:hanging="720"/>
        <w:rPr>
          <w:rFonts w:ascii="Calibri" w:hAnsi="Calibri"/>
          <w:noProof/>
          <w:szCs w:val="24"/>
        </w:rPr>
      </w:pPr>
    </w:p>
    <w:p w:rsidR="000F57FD" w:rsidRPr="000F57FD" w:rsidRDefault="000F57FD" w:rsidP="00503B9E">
      <w:pPr>
        <w:spacing w:line="360" w:lineRule="auto"/>
        <w:ind w:left="720" w:hanging="720"/>
        <w:rPr>
          <w:rFonts w:ascii="Calibri" w:hAnsi="Calibri"/>
          <w:noProof/>
          <w:szCs w:val="24"/>
        </w:rPr>
      </w:pPr>
      <w:bookmarkStart w:id="4" w:name="_ENREF_4"/>
      <w:r w:rsidRPr="000F57FD">
        <w:rPr>
          <w:rFonts w:ascii="Calibri" w:hAnsi="Calibri"/>
          <w:noProof/>
          <w:szCs w:val="24"/>
        </w:rPr>
        <w:t xml:space="preserve">The writing lab, The Owl at Purdue, &amp; Purdue University. (1995 - 2012). OWL Purdue online writing lab, from </w:t>
      </w:r>
      <w:hyperlink r:id="rId6" w:history="1">
        <w:r w:rsidRPr="000F57FD">
          <w:rPr>
            <w:rStyle w:val="Hyperlink"/>
            <w:rFonts w:ascii="Calibri" w:hAnsi="Calibri"/>
            <w:noProof/>
            <w:szCs w:val="24"/>
          </w:rPr>
          <w:t>http://owl.english.purdue.edu/owl/</w:t>
        </w:r>
        <w:bookmarkEnd w:id="4"/>
      </w:hyperlink>
    </w:p>
    <w:p w:rsidR="000F57FD" w:rsidRDefault="000F57FD" w:rsidP="00503B9E">
      <w:pPr>
        <w:spacing w:line="360" w:lineRule="auto"/>
        <w:rPr>
          <w:rFonts w:ascii="Calibri" w:hAnsi="Calibri"/>
          <w:noProof/>
          <w:szCs w:val="24"/>
        </w:rPr>
      </w:pPr>
    </w:p>
    <w:p w:rsidR="00411D00" w:rsidRPr="00411D00" w:rsidRDefault="00EC7B2F" w:rsidP="00503B9E">
      <w:pPr>
        <w:spacing w:line="360" w:lineRule="auto"/>
        <w:rPr>
          <w:sz w:val="24"/>
          <w:szCs w:val="24"/>
        </w:rPr>
      </w:pPr>
      <w:r>
        <w:rPr>
          <w:sz w:val="24"/>
          <w:szCs w:val="24"/>
        </w:rPr>
        <w:fldChar w:fldCharType="end"/>
      </w:r>
    </w:p>
    <w:sectPr w:rsidR="00411D00" w:rsidRPr="00411D0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ENInstantFormat&gt;"/>
    <w:docVar w:name="EN.Layout" w:val="&lt;ENLayout&gt;&lt;Style&gt;APA 6th-full nam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ad99r2pead0ff2e2aaevw5t8aav0zsrpwrzw&quot;&gt;My EndNote Library&lt;record-ids&gt;&lt;item&gt;23&lt;/item&gt;&lt;item&gt;24&lt;/item&gt;&lt;item&gt;26&lt;/item&gt;&lt;item&gt;27&lt;/item&gt;&lt;/record-ids&gt;&lt;/item&gt;&lt;/Libraries&gt;"/>
  </w:docVars>
  <w:rsids>
    <w:rsidRoot w:val="00411D00"/>
    <w:rsid w:val="00004EFE"/>
    <w:rsid w:val="00021DC6"/>
    <w:rsid w:val="000F57FD"/>
    <w:rsid w:val="001403BE"/>
    <w:rsid w:val="00145597"/>
    <w:rsid w:val="001D0B89"/>
    <w:rsid w:val="002137F5"/>
    <w:rsid w:val="00295F14"/>
    <w:rsid w:val="002D4BAC"/>
    <w:rsid w:val="00303C57"/>
    <w:rsid w:val="00315B32"/>
    <w:rsid w:val="00390BFB"/>
    <w:rsid w:val="003A318E"/>
    <w:rsid w:val="003B33E8"/>
    <w:rsid w:val="00411D00"/>
    <w:rsid w:val="00503B9E"/>
    <w:rsid w:val="005C02DD"/>
    <w:rsid w:val="00601EAD"/>
    <w:rsid w:val="006452B1"/>
    <w:rsid w:val="00667018"/>
    <w:rsid w:val="006A5A11"/>
    <w:rsid w:val="00730860"/>
    <w:rsid w:val="007F577C"/>
    <w:rsid w:val="0083749C"/>
    <w:rsid w:val="00841A7B"/>
    <w:rsid w:val="008A09D4"/>
    <w:rsid w:val="00911DE6"/>
    <w:rsid w:val="009375E6"/>
    <w:rsid w:val="009A7334"/>
    <w:rsid w:val="009B384A"/>
    <w:rsid w:val="00A20993"/>
    <w:rsid w:val="00AB2444"/>
    <w:rsid w:val="00AB46A5"/>
    <w:rsid w:val="00AF5DE9"/>
    <w:rsid w:val="00B67793"/>
    <w:rsid w:val="00BA6FA6"/>
    <w:rsid w:val="00BE70E9"/>
    <w:rsid w:val="00BF4E03"/>
    <w:rsid w:val="00CA6BCD"/>
    <w:rsid w:val="00CE4EC2"/>
    <w:rsid w:val="00D6083A"/>
    <w:rsid w:val="00DA2F68"/>
    <w:rsid w:val="00DE5B6B"/>
    <w:rsid w:val="00EA45DC"/>
    <w:rsid w:val="00EC7B2F"/>
    <w:rsid w:val="00EE1CA9"/>
    <w:rsid w:val="00F230B8"/>
    <w:rsid w:val="00F30E51"/>
    <w:rsid w:val="00F675AD"/>
    <w:rsid w:val="00F91141"/>
    <w:rsid w:val="00FD47A2"/>
    <w:rsid w:val="00FE69C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C7B2F"/>
    <w:rPr>
      <w:color w:val="0000FF" w:themeColor="hyperlink"/>
      <w:u w:val="single"/>
    </w:rPr>
  </w:style>
  <w:style w:type="table" w:styleId="TableGrid">
    <w:name w:val="Table Grid"/>
    <w:basedOn w:val="TableNormal"/>
    <w:uiPriority w:val="59"/>
    <w:rsid w:val="00BA6F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C7B2F"/>
    <w:rPr>
      <w:color w:val="0000FF" w:themeColor="hyperlink"/>
      <w:u w:val="single"/>
    </w:rPr>
  </w:style>
  <w:style w:type="table" w:styleId="TableGrid">
    <w:name w:val="Table Grid"/>
    <w:basedOn w:val="TableNormal"/>
    <w:uiPriority w:val="59"/>
    <w:rsid w:val="00BA6F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owl.english.purdue.edu/ow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511F7E2A-0E44-43F7-8BEB-CB5AE3405E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385</TotalTime>
  <Pages>6</Pages>
  <Words>2171</Words>
  <Characters>12377</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Rogers</dc:creator>
  <cp:lastModifiedBy>Rogers</cp:lastModifiedBy>
  <cp:revision>39</cp:revision>
  <dcterms:created xsi:type="dcterms:W3CDTF">2012-04-09T06:18:00Z</dcterms:created>
  <dcterms:modified xsi:type="dcterms:W3CDTF">2012-04-26T13:38:00Z</dcterms:modified>
</cp:coreProperties>
</file>